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（部门、单位）实验室安全自查报告</w:t>
      </w: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提纲：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1.管理制度建立和运行情况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实验室是否有详细明确的安全规章、操作规范和安全管理记录等，是否严格按照管理制度规范运行。其中，实验室危险品保管和使用情况，包括但不限于请购、领用、使用、回收、销毁的全过程记录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台账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和控制制度。危险品的存放和使用是否符合规范，确保在整个使用周期中处于受控状态。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对于病原微生物菌（毒）种和放射性物质，是否严格按照作业规范执行，包括但不限于：明显的警示标识；明确记录样本来源等；领、用、存、取登记交接记录；个人防护设施；专人运输与物品封存；严格履行主管单位审批手续等环节。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2.责任机制落实情况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是否健全本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部门（单位）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实验室安全监管体系，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是否成立二级学院实验室安全领导小组，是否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层层落实安全责任人；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是否签订安全责任书；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是否建立系部危险品安全管理的风险点清单并作为重点监管目标；是否建立安全运行长效工作机制。</w:t>
      </w:r>
    </w:p>
    <w:p>
      <w:pPr>
        <w:widowControl/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危化品领取登记制度</w:t>
      </w:r>
    </w:p>
    <w:p>
      <w:pPr>
        <w:widowControl/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是否有专人负责危化品登记、是否建立危化品登记台账、信息台账制定和登记是否健全。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4.安全知识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操作规范培训情况</w:t>
      </w:r>
    </w:p>
    <w:p>
      <w:pPr>
        <w:widowControl/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是否开展对实验室危险品保管人员和实验人员的岗位职责、安全操作规程、安全技能、作业场所危险因素、安全意识等的定期培训。</w:t>
      </w:r>
    </w:p>
    <w:p>
      <w:pPr>
        <w:widowControl/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危险化学品和易燃易爆有毒有害品管理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是否建立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使用、储存危险化学品必须建立危险化学品安全管理制度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，储存危险化学品是否落实保管责任制，责任到人，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危险化学品和易燃易爆有毒有害品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是否根据要求放在指定位置等。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.废弃危险品和实验室处理情况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实验废弃物是否分类暂存，并通过社会有资质的单位进行安全处置。对于搬迁或废弃的实验室，是否彻底清查废弃实验室存在的危险物品，并严格按照国家相关要求及时处理，消除各种安全隐患。在确认实验室不存在危险品之后，是否按照相关实验室废弃程序，选择具有资质的施工单位对废弃实验室进行拆迁施工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.应急预案建立情况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实验室是否设立突发事件应急预案，应急预案是否科学合理、可操作性强。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单位、部门（盖章）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年   月   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＿GBK字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247"/>
    <w:rsid w:val="00095098"/>
    <w:rsid w:val="00151E50"/>
    <w:rsid w:val="002726C7"/>
    <w:rsid w:val="003E6D7E"/>
    <w:rsid w:val="00447AF0"/>
    <w:rsid w:val="004F4521"/>
    <w:rsid w:val="0057178B"/>
    <w:rsid w:val="005B7BEF"/>
    <w:rsid w:val="00791327"/>
    <w:rsid w:val="00843D75"/>
    <w:rsid w:val="00A71247"/>
    <w:rsid w:val="00B31E69"/>
    <w:rsid w:val="00E019E9"/>
    <w:rsid w:val="00E640A7"/>
    <w:rsid w:val="00E745C3"/>
    <w:rsid w:val="03660E32"/>
    <w:rsid w:val="0FF315BB"/>
    <w:rsid w:val="10215078"/>
    <w:rsid w:val="13E219CF"/>
    <w:rsid w:val="186D4BEE"/>
    <w:rsid w:val="18C348D3"/>
    <w:rsid w:val="19E065F6"/>
    <w:rsid w:val="1A6C7971"/>
    <w:rsid w:val="1D6F7CE4"/>
    <w:rsid w:val="1DC52CFB"/>
    <w:rsid w:val="20E6444D"/>
    <w:rsid w:val="225501CA"/>
    <w:rsid w:val="233E34E0"/>
    <w:rsid w:val="24E63CDC"/>
    <w:rsid w:val="2F7415E9"/>
    <w:rsid w:val="301F1232"/>
    <w:rsid w:val="32D80EFE"/>
    <w:rsid w:val="359A5E50"/>
    <w:rsid w:val="38B31513"/>
    <w:rsid w:val="3B6B20CB"/>
    <w:rsid w:val="47A57887"/>
    <w:rsid w:val="4F6E3FC3"/>
    <w:rsid w:val="51CD6FB1"/>
    <w:rsid w:val="558A5EB4"/>
    <w:rsid w:val="5C0E39E8"/>
    <w:rsid w:val="5C191C30"/>
    <w:rsid w:val="631A13F3"/>
    <w:rsid w:val="682535A2"/>
    <w:rsid w:val="6E043CF3"/>
    <w:rsid w:val="6FA16322"/>
    <w:rsid w:val="769178E9"/>
    <w:rsid w:val="782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753</Characters>
  <Lines>6</Lines>
  <Paragraphs>1</Paragraphs>
  <ScaleCrop>false</ScaleCrop>
  <LinksUpToDate>false</LinksUpToDate>
  <CharactersWithSpaces>883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2018-04-02T02:57:00Z</dcterms:created>
  <dc:creator>hero</dc:creator>
  <cp:lastModifiedBy>胡大海</cp:lastModifiedBy>
  <dcterms:modified xsi:type="dcterms:W3CDTF">2018-05-08T01:14:04Z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